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348" w14:textId="17BF44AF" w:rsidR="002F7D79" w:rsidRDefault="0054022C" w:rsidP="00B07107">
      <w:pPr>
        <w:ind w:right="-421"/>
        <w:jc w:val="center"/>
        <w:rPr>
          <w:b/>
          <w:bCs/>
        </w:rPr>
      </w:pPr>
      <w:r w:rsidRPr="006D20A3">
        <w:rPr>
          <w:b/>
          <w:bCs/>
        </w:rPr>
        <w:t>HOR</w:t>
      </w:r>
      <w:r w:rsidR="008456A2" w:rsidRPr="006D20A3">
        <w:rPr>
          <w:b/>
          <w:bCs/>
        </w:rPr>
        <w:t>IZ</w:t>
      </w:r>
      <w:r w:rsidRPr="006D20A3">
        <w:rPr>
          <w:b/>
          <w:bCs/>
        </w:rPr>
        <w:t>ONS OF HOPE</w:t>
      </w:r>
      <w:r w:rsidR="008456A2" w:rsidRPr="006D20A3">
        <w:rPr>
          <w:b/>
          <w:bCs/>
        </w:rPr>
        <w:t xml:space="preserve"> – SESSION PREPARATION</w:t>
      </w:r>
    </w:p>
    <w:p w14:paraId="0DBD8619" w14:textId="5F5F2CC7" w:rsidR="001A5A72" w:rsidRDefault="004052D5" w:rsidP="00B07107">
      <w:pPr>
        <w:pStyle w:val="ListParagraph"/>
        <w:numPr>
          <w:ilvl w:val="0"/>
          <w:numId w:val="1"/>
        </w:numPr>
        <w:ind w:left="0" w:right="-421"/>
      </w:pPr>
      <w:r>
        <w:t xml:space="preserve">Decide on a time and dates for the 4 sessions </w:t>
      </w:r>
      <w:r w:rsidR="001A5A72">
        <w:t>(</w:t>
      </w:r>
      <w:r>
        <w:t>i.e.</w:t>
      </w:r>
      <w:r w:rsidR="001A5A72">
        <w:t xml:space="preserve"> once a week for 4 weeks, twice a week for two weeks; weekday after morning mass; weekend</w:t>
      </w:r>
      <w:r w:rsidR="001F53E4">
        <w:t>; evening</w:t>
      </w:r>
      <w:r w:rsidR="001A5A72">
        <w:t>).</w:t>
      </w:r>
      <w:r w:rsidR="003C5483">
        <w:t xml:space="preserve"> Each session is 2 hours; we would suggest the last session be 2.5 hours.</w:t>
      </w:r>
    </w:p>
    <w:p w14:paraId="0EC436A5" w14:textId="77777777" w:rsidR="001A5A72" w:rsidRDefault="001A5A72" w:rsidP="00B07107">
      <w:pPr>
        <w:pStyle w:val="ListParagraph"/>
        <w:ind w:left="0" w:right="-421"/>
      </w:pPr>
    </w:p>
    <w:p w14:paraId="6EBAA323" w14:textId="2E3A0E1D" w:rsidR="006D20A3" w:rsidRDefault="00F8319E" w:rsidP="00B07107">
      <w:pPr>
        <w:pStyle w:val="ListParagraph"/>
        <w:numPr>
          <w:ilvl w:val="0"/>
          <w:numId w:val="1"/>
        </w:numPr>
        <w:ind w:left="0" w:right="-421"/>
      </w:pPr>
      <w:r>
        <w:t xml:space="preserve">Place announcement in parish bulletin. As part of </w:t>
      </w:r>
      <w:r w:rsidR="004F5FBF">
        <w:t xml:space="preserve">the </w:t>
      </w:r>
      <w:r>
        <w:t>announcement</w:t>
      </w:r>
      <w:r w:rsidR="004F5FBF">
        <w:t>s</w:t>
      </w:r>
      <w:r>
        <w:t xml:space="preserve"> at mass, </w:t>
      </w:r>
      <w:r w:rsidR="004052D5">
        <w:t>inform the parishioners about the workshop</w:t>
      </w:r>
      <w:r w:rsidR="001F53E4">
        <w:t xml:space="preserve"> and how to register (</w:t>
      </w:r>
      <w:r w:rsidR="002318E8">
        <w:t xml:space="preserve">i.e. </w:t>
      </w:r>
      <w:r w:rsidR="001F53E4">
        <w:t xml:space="preserve">leave name and </w:t>
      </w:r>
      <w:r w:rsidR="002318E8">
        <w:t>email with the parish office)</w:t>
      </w:r>
      <w:r w:rsidR="004052D5">
        <w:t xml:space="preserve">. Offer to stand at entrance of the church </w:t>
      </w:r>
      <w:r w:rsidR="006327D1">
        <w:t xml:space="preserve">after mass </w:t>
      </w:r>
      <w:r w:rsidR="004052D5">
        <w:t>to answer any questions.</w:t>
      </w:r>
    </w:p>
    <w:p w14:paraId="3262D084" w14:textId="77777777" w:rsidR="00AF7B40" w:rsidRDefault="00AF7B40" w:rsidP="00AF7B40">
      <w:pPr>
        <w:pStyle w:val="ListParagraph"/>
      </w:pPr>
    </w:p>
    <w:p w14:paraId="1797B761" w14:textId="318C7C82" w:rsidR="00AF7B40" w:rsidRDefault="00AF7B40" w:rsidP="00B07107">
      <w:pPr>
        <w:pStyle w:val="ListParagraph"/>
        <w:numPr>
          <w:ilvl w:val="0"/>
          <w:numId w:val="1"/>
        </w:numPr>
        <w:ind w:left="0" w:right="-421"/>
      </w:pPr>
      <w:r>
        <w:t>Send a</w:t>
      </w:r>
      <w:r w:rsidR="00022CB0">
        <w:t>n</w:t>
      </w:r>
      <w:r>
        <w:t xml:space="preserve"> email to participants before the first session on when and where to meet</w:t>
      </w:r>
      <w:r w:rsidR="00FC2913">
        <w:t xml:space="preserve"> and what to bring (pen)</w:t>
      </w:r>
      <w:r>
        <w:t>.</w:t>
      </w:r>
    </w:p>
    <w:p w14:paraId="7DD8DBD8" w14:textId="77777777" w:rsidR="001F53E4" w:rsidRDefault="001F53E4" w:rsidP="00B07107">
      <w:pPr>
        <w:pStyle w:val="ListParagraph"/>
        <w:ind w:right="-421"/>
      </w:pPr>
    </w:p>
    <w:p w14:paraId="28C402FF" w14:textId="2FED8FA8" w:rsidR="00E15598" w:rsidRDefault="006A60EB" w:rsidP="00B07107">
      <w:pPr>
        <w:pStyle w:val="ListParagraph"/>
        <w:numPr>
          <w:ilvl w:val="0"/>
          <w:numId w:val="1"/>
        </w:numPr>
        <w:ind w:left="0" w:right="-421"/>
      </w:pPr>
      <w:r>
        <w:t>Download PPT</w:t>
      </w:r>
      <w:r w:rsidR="00044605">
        <w:t xml:space="preserve">, </w:t>
      </w:r>
      <w:r>
        <w:t xml:space="preserve"> videos</w:t>
      </w:r>
      <w:r w:rsidR="0028158A">
        <w:t>,</w:t>
      </w:r>
      <w:r w:rsidR="00044605">
        <w:t xml:space="preserve"> and facilitators </w:t>
      </w:r>
      <w:r w:rsidR="00DF6958">
        <w:t xml:space="preserve">guide from the </w:t>
      </w:r>
      <w:r>
        <w:t xml:space="preserve">diocesan </w:t>
      </w:r>
      <w:r w:rsidR="00A57938">
        <w:t xml:space="preserve">and/or CCCB </w:t>
      </w:r>
      <w:r w:rsidR="00922F9C">
        <w:t>websites</w:t>
      </w:r>
      <w:r w:rsidR="00E15598">
        <w:br/>
        <w:t>Be sure to download the following:</w:t>
      </w:r>
    </w:p>
    <w:p w14:paraId="1CBC0E8D" w14:textId="77777777" w:rsidR="00CE5C15" w:rsidRDefault="00CE5C15" w:rsidP="00B07107">
      <w:pPr>
        <w:pStyle w:val="ListParagraph"/>
        <w:ind w:right="-421"/>
      </w:pPr>
    </w:p>
    <w:p w14:paraId="4D677450" w14:textId="77777777" w:rsidR="00946D92" w:rsidRDefault="00CE5C15" w:rsidP="00B07107">
      <w:pPr>
        <w:pStyle w:val="ListParagraph"/>
        <w:numPr>
          <w:ilvl w:val="1"/>
          <w:numId w:val="1"/>
        </w:numPr>
        <w:ind w:left="567" w:right="-421"/>
      </w:pPr>
      <w:hyperlink r:id="rId7" w:history="1">
        <w:r w:rsidRPr="0010289C">
          <w:rPr>
            <w:rStyle w:val="Hyperlink"/>
          </w:rPr>
          <w:t>https://www.rcdvictoria.org/care-of-the-dying</w:t>
        </w:r>
      </w:hyperlink>
      <w:r w:rsidR="001A5C1B">
        <w:t xml:space="preserve"> </w:t>
      </w:r>
      <w:r w:rsidR="00A57938">
        <w:t>(diocesan website)</w:t>
      </w:r>
    </w:p>
    <w:p w14:paraId="42AA2BE1" w14:textId="44CF7884" w:rsidR="00A24436" w:rsidRDefault="005634D0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Diocesan introductory video (use this one NOT the one on the </w:t>
      </w:r>
      <w:r w:rsidR="00197A80">
        <w:t>C</w:t>
      </w:r>
      <w:r>
        <w:t>CCB website)</w:t>
      </w:r>
      <w:r w:rsidR="00C1049D">
        <w:t>. Looks like</w:t>
      </w:r>
      <w:r w:rsidR="00C1049D">
        <w:br/>
        <w:t xml:space="preserve"> </w:t>
      </w:r>
      <w:r w:rsidR="00C1049D" w:rsidRPr="00C1049D">
        <w:rPr>
          <w:noProof/>
        </w:rPr>
        <w:drawing>
          <wp:inline distT="0" distB="0" distL="0" distR="0" wp14:anchorId="19F67539" wp14:editId="21DFB84A">
            <wp:extent cx="1661311" cy="1002023"/>
            <wp:effectExtent l="0" t="0" r="0" b="8255"/>
            <wp:docPr id="1329602966" name="Picture 1" descr="A video of a suns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02966" name="Picture 1" descr="A video of a sunse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3752" cy="100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EFC">
        <w:br/>
        <w:t xml:space="preserve">If you downloaded prior to </w:t>
      </w:r>
      <w:r w:rsidR="00563E04">
        <w:t>June 2025 – note that it was updated slightly.</w:t>
      </w:r>
    </w:p>
    <w:p w14:paraId="43689F4F" w14:textId="497D35D9" w:rsidR="00946D92" w:rsidRDefault="005A168C" w:rsidP="00B07107">
      <w:pPr>
        <w:pStyle w:val="ListParagraph"/>
        <w:numPr>
          <w:ilvl w:val="2"/>
          <w:numId w:val="1"/>
        </w:numPr>
        <w:ind w:left="993" w:right="-421"/>
      </w:pPr>
      <w:r>
        <w:t>Download 4 PowerPoints</w:t>
      </w:r>
      <w:r w:rsidR="00094961">
        <w:t xml:space="preserve"> </w:t>
      </w:r>
      <w:r>
        <w:t xml:space="preserve">– one </w:t>
      </w:r>
      <w:r w:rsidR="00094961">
        <w:t xml:space="preserve">for each session (developed by </w:t>
      </w:r>
      <w:r w:rsidR="00537978">
        <w:t>Bev and Claire from Holy Cross)</w:t>
      </w:r>
      <w:r w:rsidR="00864205">
        <w:t xml:space="preserve">. Once downloaded you can </w:t>
      </w:r>
      <w:r w:rsidR="00537978">
        <w:t xml:space="preserve">use them as is or </w:t>
      </w:r>
      <w:r w:rsidR="00864205">
        <w:t xml:space="preserve">change them </w:t>
      </w:r>
      <w:r w:rsidR="00537978">
        <w:t>to suit your needs</w:t>
      </w:r>
      <w:r w:rsidR="00864205">
        <w:t>.</w:t>
      </w:r>
      <w:r w:rsidR="000C352A">
        <w:br/>
      </w:r>
    </w:p>
    <w:p w14:paraId="45AF7E28" w14:textId="2372BF00" w:rsidR="00026347" w:rsidRDefault="000C352A" w:rsidP="004A3811">
      <w:pPr>
        <w:pStyle w:val="ListParagraph"/>
        <w:ind w:left="993" w:right="-421"/>
      </w:pPr>
      <w:r>
        <w:t xml:space="preserve">The PowerPoints have the notes of what to say </w:t>
      </w:r>
      <w:r w:rsidR="00992297">
        <w:t xml:space="preserve">with each slide (these are </w:t>
      </w:r>
      <w:r>
        <w:t xml:space="preserve">embedded into the </w:t>
      </w:r>
      <w:r w:rsidR="00D400DE">
        <w:t>note se</w:t>
      </w:r>
      <w:r w:rsidR="00FC3094">
        <w:t>ction that only the presenter sees</w:t>
      </w:r>
      <w:r w:rsidR="00992297">
        <w:t>)</w:t>
      </w:r>
      <w:r w:rsidR="00FC3094">
        <w:t xml:space="preserve">. </w:t>
      </w:r>
      <w:r w:rsidR="00896C6D">
        <w:t xml:space="preserve">Feel free to change to suite your needs and presenter style. </w:t>
      </w:r>
      <w:r w:rsidR="00FC3094">
        <w:t xml:space="preserve">Much of </w:t>
      </w:r>
      <w:r w:rsidR="007258C6">
        <w:t xml:space="preserve">the notes </w:t>
      </w:r>
      <w:r w:rsidR="00FC3094">
        <w:t xml:space="preserve">comes from </w:t>
      </w:r>
      <w:r w:rsidR="00992297">
        <w:t>the C</w:t>
      </w:r>
      <w:r w:rsidR="00F91ADB">
        <w:t>C</w:t>
      </w:r>
      <w:r w:rsidR="00992297">
        <w:t>CB Facilitator’s Guide.</w:t>
      </w:r>
      <w:r w:rsidR="007848A1">
        <w:t xml:space="preserve"> The suggested time allotments are included</w:t>
      </w:r>
      <w:r w:rsidR="00D12EC2">
        <w:t xml:space="preserve"> for the silent reflection, small group sharing and group sharing</w:t>
      </w:r>
      <w:r w:rsidR="007848A1">
        <w:t>.</w:t>
      </w:r>
      <w:r w:rsidR="00992297">
        <w:br/>
      </w:r>
    </w:p>
    <w:p w14:paraId="6F8E1D54" w14:textId="69BA61A9" w:rsidR="00864205" w:rsidRDefault="00090700" w:rsidP="00B07107">
      <w:pPr>
        <w:pStyle w:val="ListParagraph"/>
        <w:numPr>
          <w:ilvl w:val="1"/>
          <w:numId w:val="1"/>
        </w:numPr>
        <w:ind w:left="567" w:right="-421"/>
      </w:pPr>
      <w:hyperlink r:id="rId9" w:history="1">
        <w:r w:rsidRPr="0010289C">
          <w:rPr>
            <w:rStyle w:val="Hyperlink"/>
          </w:rPr>
          <w:t>https://www.cccb.ca/faith-moral-issues/suffering-and-end-of-life/horizons-of-hope-a-toolkit-for-catholic-parishes-on-palliative-care/</w:t>
        </w:r>
      </w:hyperlink>
      <w:r>
        <w:t xml:space="preserve">  (CCCB website)</w:t>
      </w:r>
      <w:r w:rsidR="00E335F2">
        <w:t xml:space="preserve"> </w:t>
      </w:r>
      <w:r w:rsidR="006D42CC">
        <w:br/>
      </w:r>
      <w:r w:rsidR="006354AA">
        <w:br/>
      </w:r>
      <w:r w:rsidR="006D42CC" w:rsidRPr="006D42CC">
        <w:rPr>
          <w:noProof/>
        </w:rPr>
        <w:drawing>
          <wp:inline distT="0" distB="0" distL="0" distR="0" wp14:anchorId="44DC4CF7" wp14:editId="123DD8FF">
            <wp:extent cx="2236206" cy="1439749"/>
            <wp:effectExtent l="0" t="0" r="0" b="8255"/>
            <wp:docPr id="36363492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3492" name="Picture 1" descr="A screenshot of a computer pro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7774" cy="144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9BC9" w14:textId="2CAD7891" w:rsidR="00F4517F" w:rsidRDefault="004573DD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Download the </w:t>
      </w:r>
      <w:r w:rsidR="009E2352">
        <w:t>Facilitator’s</w:t>
      </w:r>
      <w:r w:rsidR="00A32C74">
        <w:t xml:space="preserve"> </w:t>
      </w:r>
      <w:r w:rsidR="009E2352">
        <w:t>Guide</w:t>
      </w:r>
      <w:r w:rsidR="00491DD2">
        <w:t xml:space="preserve"> </w:t>
      </w:r>
      <w:r w:rsidR="009E2352">
        <w:t>– you should review it for ideas</w:t>
      </w:r>
    </w:p>
    <w:p w14:paraId="707A1EF5" w14:textId="2A2615F7" w:rsidR="00034808" w:rsidRDefault="00034808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Download the 4 Module Guides </w:t>
      </w:r>
      <w:r w:rsidR="00491DD2">
        <w:t xml:space="preserve">- you should review </w:t>
      </w:r>
      <w:r w:rsidR="006A33B2">
        <w:t>each</w:t>
      </w:r>
      <w:r w:rsidR="00491DD2">
        <w:t xml:space="preserve"> Module Guide before you facilitate that session</w:t>
      </w:r>
    </w:p>
    <w:p w14:paraId="48BF7CCA" w14:textId="2BED061E" w:rsidR="00090700" w:rsidRDefault="00F4517F" w:rsidP="004A3811">
      <w:pPr>
        <w:pStyle w:val="ListParagraph"/>
        <w:ind w:left="993" w:right="-421"/>
      </w:pPr>
      <w:r>
        <w:lastRenderedPageBreak/>
        <w:t>Download each of the videos f</w:t>
      </w:r>
      <w:r w:rsidR="00FA7374">
        <w:t>or</w:t>
      </w:r>
      <w:r>
        <w:t xml:space="preserve"> each of the </w:t>
      </w:r>
      <w:r w:rsidR="00937C83">
        <w:t xml:space="preserve">4 modules to your computer </w:t>
      </w:r>
      <w:r w:rsidR="00D7493D">
        <w:t xml:space="preserve"> (2 for each module and 3 for the last module) </w:t>
      </w:r>
      <w:r w:rsidR="00937C83">
        <w:t xml:space="preserve">– this is better than </w:t>
      </w:r>
      <w:r w:rsidR="00D7493D">
        <w:t xml:space="preserve">having </w:t>
      </w:r>
      <w:r w:rsidR="00E11606">
        <w:t>to access</w:t>
      </w:r>
      <w:r w:rsidR="00937C83">
        <w:t xml:space="preserve"> the videos on the internet</w:t>
      </w:r>
      <w:r w:rsidR="00D7493D">
        <w:t xml:space="preserve"> during the sessions in case of a poor internet connection</w:t>
      </w:r>
      <w:r w:rsidR="0099197C">
        <w:t xml:space="preserve">. </w:t>
      </w:r>
      <w:r w:rsidR="00E32585">
        <w:t>Best to label each video</w:t>
      </w:r>
      <w:r w:rsidR="002F0442">
        <w:t xml:space="preserve"> in your video file for </w:t>
      </w:r>
      <w:r w:rsidR="00F40484">
        <w:t>less confusion</w:t>
      </w:r>
      <w:r w:rsidR="00E32585">
        <w:t xml:space="preserve"> (</w:t>
      </w:r>
      <w:r w:rsidR="00950BF2">
        <w:t>i.e.</w:t>
      </w:r>
      <w:r w:rsidR="00E32585">
        <w:t xml:space="preserve"> 1A-Theoligical</w:t>
      </w:r>
      <w:r w:rsidR="00F601B8">
        <w:t>, 1B-Medical, 2A-Medical, 2B-Theological</w:t>
      </w:r>
      <w:r w:rsidR="00950BF2">
        <w:t xml:space="preserve">, </w:t>
      </w:r>
      <w:r w:rsidR="008428EB">
        <w:t>etc.</w:t>
      </w:r>
      <w:r w:rsidR="00950BF2">
        <w:t>).</w:t>
      </w:r>
      <w:r w:rsidR="004A3811">
        <w:br/>
      </w:r>
      <w:r w:rsidR="004A3811">
        <w:br/>
        <w:t xml:space="preserve">Alternately, </w:t>
      </w:r>
      <w:r w:rsidR="00712255">
        <w:t>t</w:t>
      </w:r>
      <w:r w:rsidR="004A3811">
        <w:t xml:space="preserve">he </w:t>
      </w:r>
      <w:r w:rsidR="004A3811">
        <w:t>PowerPoints</w:t>
      </w:r>
      <w:r w:rsidR="004A3811">
        <w:t xml:space="preserve"> also have the videos hyperlinked to the CCCB website. This is not ideal</w:t>
      </w:r>
      <w:r w:rsidR="004A3811">
        <w:t xml:space="preserve"> as they do not allow you to </w:t>
      </w:r>
      <w:r w:rsidR="00712255">
        <w:t xml:space="preserve">go full screen when showing the videos, so we STRONGLY recommend that you download the videos to your computer </w:t>
      </w:r>
      <w:r w:rsidR="00BB2F1E">
        <w:t>(you will have to update the hyperlinks for each video).</w:t>
      </w:r>
      <w:r w:rsidR="00090700">
        <w:br/>
      </w:r>
    </w:p>
    <w:p w14:paraId="47896AF4" w14:textId="711E15C4" w:rsidR="001F53E4" w:rsidRDefault="00AE7766" w:rsidP="00B07107">
      <w:pPr>
        <w:pStyle w:val="ListParagraph"/>
        <w:numPr>
          <w:ilvl w:val="0"/>
          <w:numId w:val="1"/>
        </w:numPr>
        <w:ind w:left="0" w:right="-421"/>
      </w:pPr>
      <w:r>
        <w:t>In preparation for each session</w:t>
      </w:r>
      <w:r w:rsidR="002D4A0A">
        <w:t xml:space="preserve"> – </w:t>
      </w:r>
      <w:r w:rsidR="002D4A0A">
        <w:rPr>
          <w:color w:val="FF0000"/>
        </w:rPr>
        <w:t xml:space="preserve">at the </w:t>
      </w:r>
      <w:r w:rsidR="002D4697">
        <w:rPr>
          <w:color w:val="FF0000"/>
        </w:rPr>
        <w:t>latest</w:t>
      </w:r>
      <w:r w:rsidR="000017D3">
        <w:rPr>
          <w:color w:val="FF0000"/>
        </w:rPr>
        <w:t xml:space="preserve"> a few</w:t>
      </w:r>
      <w:r w:rsidR="00732078" w:rsidRPr="00732078">
        <w:rPr>
          <w:color w:val="FF0000"/>
        </w:rPr>
        <w:t xml:space="preserve"> days before you </w:t>
      </w:r>
      <w:r w:rsidR="000017D3" w:rsidRPr="00732078">
        <w:rPr>
          <w:color w:val="FF0000"/>
        </w:rPr>
        <w:t>present</w:t>
      </w:r>
      <w:r w:rsidR="000017D3">
        <w:rPr>
          <w:color w:val="FF0000"/>
        </w:rPr>
        <w:t xml:space="preserve"> in case you need help with the  </w:t>
      </w:r>
      <w:r w:rsidR="002D4697">
        <w:rPr>
          <w:color w:val="FF0000"/>
        </w:rPr>
        <w:t>technology</w:t>
      </w:r>
      <w:r>
        <w:t>:</w:t>
      </w:r>
    </w:p>
    <w:p w14:paraId="4A77A88C" w14:textId="1AA725EB" w:rsidR="006A60EB" w:rsidRDefault="00FF2572" w:rsidP="00B07107">
      <w:pPr>
        <w:pStyle w:val="ListParagraph"/>
        <w:numPr>
          <w:ilvl w:val="1"/>
          <w:numId w:val="1"/>
        </w:numPr>
        <w:ind w:left="567" w:right="-421"/>
      </w:pPr>
      <w:r>
        <w:t xml:space="preserve">Check that the </w:t>
      </w:r>
      <w:r w:rsidR="00680EFA">
        <w:t>technology is working:</w:t>
      </w:r>
    </w:p>
    <w:p w14:paraId="642269DD" w14:textId="3AC910DE" w:rsidR="00680EFA" w:rsidRDefault="00F342C8" w:rsidP="00B07107">
      <w:pPr>
        <w:pStyle w:val="ListParagraph"/>
        <w:numPr>
          <w:ilvl w:val="2"/>
          <w:numId w:val="1"/>
        </w:numPr>
        <w:ind w:left="993" w:right="-421"/>
      </w:pPr>
      <w:r>
        <w:t>Projectors and speakers</w:t>
      </w:r>
      <w:r w:rsidR="00B07107">
        <w:t xml:space="preserve"> (speakers loud enough for the room)</w:t>
      </w:r>
    </w:p>
    <w:p w14:paraId="45F958E2" w14:textId="5EA47EA9" w:rsidR="00F171B8" w:rsidRDefault="000E19BC" w:rsidP="00B07107">
      <w:pPr>
        <w:pStyle w:val="ListParagraph"/>
        <w:numPr>
          <w:ilvl w:val="2"/>
          <w:numId w:val="1"/>
        </w:numPr>
        <w:ind w:left="993" w:right="-421"/>
      </w:pPr>
      <w:r>
        <w:t>PowerPoint</w:t>
      </w:r>
      <w:r w:rsidR="00F342C8">
        <w:t xml:space="preserve"> </w:t>
      </w:r>
      <w:r>
        <w:t xml:space="preserve">– so that you can see the notes section </w:t>
      </w:r>
      <w:r w:rsidR="007B0710">
        <w:t>(</w:t>
      </w:r>
      <w:r w:rsidR="007B0710" w:rsidRPr="00044794">
        <w:rPr>
          <w:i/>
          <w:iCs/>
        </w:rPr>
        <w:t>presenter view</w:t>
      </w:r>
      <w:r w:rsidR="007B0710">
        <w:t xml:space="preserve"> on your computer and </w:t>
      </w:r>
      <w:r w:rsidR="00CE31EA">
        <w:t>slides on screen that you are presenting on)</w:t>
      </w:r>
      <w:r w:rsidR="00850150">
        <w:br/>
      </w:r>
      <w:r w:rsidR="00850150" w:rsidRPr="00850150">
        <w:rPr>
          <w:noProof/>
        </w:rPr>
        <w:drawing>
          <wp:inline distT="0" distB="0" distL="0" distR="0" wp14:anchorId="2DE15EE3" wp14:editId="714E4776">
            <wp:extent cx="3290934" cy="1441893"/>
            <wp:effectExtent l="0" t="0" r="5080" b="6350"/>
            <wp:docPr id="12246884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8842" name="Picture 1" descr="A screenshot of a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3027" cy="145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252B0" w14:textId="77777777" w:rsidR="0000346D" w:rsidRDefault="0000346D" w:rsidP="00B07107">
      <w:pPr>
        <w:pStyle w:val="ListParagraph"/>
        <w:ind w:left="993" w:right="-421"/>
      </w:pPr>
    </w:p>
    <w:p w14:paraId="1B1A47ED" w14:textId="79A38560" w:rsidR="00F342C8" w:rsidRDefault="0000346D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Check </w:t>
      </w:r>
      <w:r w:rsidR="008E7383">
        <w:t xml:space="preserve">that </w:t>
      </w:r>
      <w:r w:rsidR="008E7383" w:rsidRPr="00E41803">
        <w:rPr>
          <w:color w:val="CC9B00"/>
        </w:rPr>
        <w:t>video</w:t>
      </w:r>
      <w:r w:rsidR="008E7383">
        <w:t xml:space="preserve"> </w:t>
      </w:r>
      <w:r>
        <w:t>l</w:t>
      </w:r>
      <w:r w:rsidR="00F342C8">
        <w:t xml:space="preserve">inks in the </w:t>
      </w:r>
      <w:r w:rsidR="000E19BC">
        <w:t>PowerPoint</w:t>
      </w:r>
      <w:r w:rsidR="00F342C8">
        <w:t xml:space="preserve"> </w:t>
      </w:r>
      <w:r w:rsidR="00E41803">
        <w:t xml:space="preserve">are working and </w:t>
      </w:r>
      <w:r w:rsidR="00A53BE2">
        <w:t xml:space="preserve">open to </w:t>
      </w:r>
      <w:r w:rsidR="00F342C8">
        <w:t>each of the videos</w:t>
      </w:r>
      <w:r w:rsidR="00A53BE2">
        <w:t xml:space="preserve"> stored on your computer. NOTE: I</w:t>
      </w:r>
      <w:r w:rsidR="00F342C8">
        <w:t xml:space="preserve">f the links are not working, you will have to reset the hyperlink </w:t>
      </w:r>
      <w:r w:rsidR="002C2586">
        <w:t xml:space="preserve">to </w:t>
      </w:r>
      <w:r w:rsidR="00F342C8">
        <w:t>the video</w:t>
      </w:r>
      <w:r w:rsidR="000E19BC">
        <w:t>s that are stored on your computer.</w:t>
      </w:r>
    </w:p>
    <w:p w14:paraId="13F15821" w14:textId="77777777" w:rsidR="008E7383" w:rsidRDefault="008E7383" w:rsidP="00B07107">
      <w:pPr>
        <w:pStyle w:val="ListParagraph"/>
        <w:ind w:right="-421"/>
      </w:pPr>
    </w:p>
    <w:p w14:paraId="2ED747FC" w14:textId="6505F436" w:rsidR="008E7383" w:rsidRDefault="008E7383" w:rsidP="00B07107">
      <w:pPr>
        <w:pStyle w:val="ListParagraph"/>
        <w:ind w:left="993" w:right="-421"/>
      </w:pPr>
      <w:r w:rsidRPr="008E7383">
        <w:rPr>
          <w:noProof/>
        </w:rPr>
        <w:drawing>
          <wp:inline distT="0" distB="0" distL="0" distR="0" wp14:anchorId="3076A2B8" wp14:editId="100E2C8C">
            <wp:extent cx="1842380" cy="1000891"/>
            <wp:effectExtent l="0" t="0" r="5715" b="8890"/>
            <wp:docPr id="359090837" name="Picture 1" descr="A stethoscope and a clip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90837" name="Picture 1" descr="A stethoscope and a clipboa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0829" cy="100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0D7C0" w14:textId="77777777" w:rsidR="008E0F29" w:rsidRDefault="008E0F29" w:rsidP="00B07107">
      <w:pPr>
        <w:pStyle w:val="ListParagraph"/>
        <w:ind w:left="993" w:right="-421"/>
      </w:pPr>
    </w:p>
    <w:p w14:paraId="33FCA2C0" w14:textId="7C427538" w:rsidR="002D4697" w:rsidRDefault="002D4697" w:rsidP="00B07107">
      <w:pPr>
        <w:pStyle w:val="ListParagraph"/>
        <w:numPr>
          <w:ilvl w:val="1"/>
          <w:numId w:val="1"/>
        </w:numPr>
        <w:ind w:left="567" w:right="-421"/>
      </w:pPr>
      <w:r>
        <w:t>Print off the Appendices for each participant (or you could email to each participant)</w:t>
      </w:r>
      <w:r w:rsidR="00F44F05">
        <w:t>; this is from CCCB materials.</w:t>
      </w:r>
    </w:p>
    <w:p w14:paraId="7DFC6355" w14:textId="77777777" w:rsidR="002D4697" w:rsidRDefault="002D4697" w:rsidP="00B07107">
      <w:pPr>
        <w:pStyle w:val="ListParagraph"/>
        <w:numPr>
          <w:ilvl w:val="2"/>
          <w:numId w:val="1"/>
        </w:numPr>
        <w:ind w:left="993" w:right="-421"/>
      </w:pPr>
      <w:r>
        <w:t>Module 1 – Pages 26-42 plus one note page</w:t>
      </w:r>
    </w:p>
    <w:p w14:paraId="567BADF0" w14:textId="77777777" w:rsidR="002D4697" w:rsidRDefault="002D4697" w:rsidP="00B07107">
      <w:pPr>
        <w:pStyle w:val="ListParagraph"/>
        <w:numPr>
          <w:ilvl w:val="2"/>
          <w:numId w:val="1"/>
        </w:numPr>
        <w:ind w:left="993" w:right="-421"/>
      </w:pPr>
      <w:r>
        <w:t>Module 2 – Pages 28-46 plus one note page</w:t>
      </w:r>
    </w:p>
    <w:p w14:paraId="61CCA5FB" w14:textId="43435986" w:rsidR="002D4697" w:rsidRDefault="002D4697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Module </w:t>
      </w:r>
      <w:r w:rsidR="0034414E">
        <w:t>3</w:t>
      </w:r>
      <w:r>
        <w:t xml:space="preserve"> – Pages 24-38 plus one note page</w:t>
      </w:r>
    </w:p>
    <w:p w14:paraId="03086734" w14:textId="5994EFEB" w:rsidR="002D4697" w:rsidRDefault="002D4697" w:rsidP="00B07107">
      <w:pPr>
        <w:pStyle w:val="ListParagraph"/>
        <w:numPr>
          <w:ilvl w:val="2"/>
          <w:numId w:val="1"/>
        </w:numPr>
        <w:ind w:left="993" w:right="-421"/>
      </w:pPr>
      <w:r>
        <w:t xml:space="preserve">Module </w:t>
      </w:r>
      <w:r w:rsidR="00563405">
        <w:t>4</w:t>
      </w:r>
      <w:r>
        <w:t xml:space="preserve"> – Pages 34-62 plus one note page</w:t>
      </w:r>
    </w:p>
    <w:p w14:paraId="746BE145" w14:textId="7C8ABA32" w:rsidR="002D4697" w:rsidRDefault="002D4697" w:rsidP="00B07107">
      <w:pPr>
        <w:ind w:left="633" w:right="-421"/>
      </w:pPr>
      <w:r>
        <w:t xml:space="preserve">We tended to give </w:t>
      </w:r>
      <w:r w:rsidR="00F44F05">
        <w:t xml:space="preserve">paper copies of </w:t>
      </w:r>
      <w:r>
        <w:t>the Appendices for each session at the start of each session (i.e. Appendices for Module 1 at the start of session 1; Module 2 at the start of session 2; etc.)</w:t>
      </w:r>
    </w:p>
    <w:p w14:paraId="11A33FD7" w14:textId="77777777" w:rsidR="00532398" w:rsidRDefault="00000F13" w:rsidP="00B07107">
      <w:pPr>
        <w:pStyle w:val="ListParagraph"/>
        <w:numPr>
          <w:ilvl w:val="1"/>
          <w:numId w:val="1"/>
        </w:numPr>
        <w:ind w:left="567" w:right="-421"/>
      </w:pPr>
      <w:r>
        <w:t xml:space="preserve">Have names tags and </w:t>
      </w:r>
      <w:r w:rsidR="00532398">
        <w:t>pens available for the days of the sessions</w:t>
      </w:r>
    </w:p>
    <w:p w14:paraId="054AF8B3" w14:textId="77777777" w:rsidR="00532398" w:rsidRDefault="00532398" w:rsidP="00B07107">
      <w:pPr>
        <w:pStyle w:val="ListParagraph"/>
        <w:ind w:left="567" w:right="-421"/>
      </w:pPr>
    </w:p>
    <w:p w14:paraId="743AD1B9" w14:textId="45E6EBF8" w:rsidR="00CA06E3" w:rsidRDefault="00CA06E3" w:rsidP="00B07107">
      <w:pPr>
        <w:pStyle w:val="ListParagraph"/>
        <w:numPr>
          <w:ilvl w:val="1"/>
          <w:numId w:val="1"/>
        </w:numPr>
        <w:ind w:left="567" w:right="-421"/>
      </w:pPr>
      <w:r>
        <w:t xml:space="preserve">Optional: Consider inviting the pastor to come to the first 10 minutes </w:t>
      </w:r>
      <w:r w:rsidR="000D3EDF">
        <w:t xml:space="preserve">of session 1 </w:t>
      </w:r>
      <w:r>
        <w:t>to help welcome everyone</w:t>
      </w:r>
      <w:r w:rsidR="00B301C7">
        <w:t xml:space="preserve">. Also </w:t>
      </w:r>
      <w:r>
        <w:t>invite</w:t>
      </w:r>
      <w:r w:rsidR="00B301C7">
        <w:t xml:space="preserve"> the pastor</w:t>
      </w:r>
      <w:r>
        <w:t xml:space="preserve"> to </w:t>
      </w:r>
      <w:r w:rsidR="00B301C7">
        <w:t xml:space="preserve">the </w:t>
      </w:r>
      <w:r>
        <w:t>end of the last session to help close</w:t>
      </w:r>
      <w:r w:rsidR="00B56129">
        <w:t xml:space="preserve"> session 4</w:t>
      </w:r>
      <w:r>
        <w:t>.</w:t>
      </w:r>
    </w:p>
    <w:p w14:paraId="36496EDD" w14:textId="77777777" w:rsidR="00CA06E3" w:rsidRDefault="00CA06E3" w:rsidP="00B07107">
      <w:pPr>
        <w:pStyle w:val="ListParagraph"/>
        <w:ind w:left="567" w:right="-421"/>
      </w:pPr>
    </w:p>
    <w:p w14:paraId="05266C3B" w14:textId="75743D96" w:rsidR="001D03A0" w:rsidRDefault="001D03A0" w:rsidP="00B07107">
      <w:pPr>
        <w:pStyle w:val="ListParagraph"/>
        <w:numPr>
          <w:ilvl w:val="0"/>
          <w:numId w:val="1"/>
        </w:numPr>
        <w:ind w:left="0" w:right="-421"/>
      </w:pPr>
      <w:r>
        <w:t>Preparation on the day of the session or the night before:</w:t>
      </w:r>
    </w:p>
    <w:p w14:paraId="437183A8" w14:textId="46F7688D" w:rsidR="001D03A0" w:rsidRDefault="001D03A0" w:rsidP="00B07107">
      <w:pPr>
        <w:pStyle w:val="ListParagraph"/>
        <w:numPr>
          <w:ilvl w:val="1"/>
          <w:numId w:val="1"/>
        </w:numPr>
        <w:ind w:left="567" w:right="-421"/>
      </w:pPr>
      <w:r>
        <w:t xml:space="preserve">Set up the room where you will be facilitating the session </w:t>
      </w:r>
      <w:r w:rsidR="003C7BDE">
        <w:t>(chairs in a U-shape is nice for making people feel welcome</w:t>
      </w:r>
      <w:r w:rsidR="00FB68A5">
        <w:t>; larger groups may need round table</w:t>
      </w:r>
      <w:r w:rsidR="00B56129">
        <w:t>s</w:t>
      </w:r>
      <w:r w:rsidR="00FB68A5">
        <w:t xml:space="preserve"> and chairs)</w:t>
      </w:r>
    </w:p>
    <w:p w14:paraId="61B03160" w14:textId="05AF98A4" w:rsidR="00532398" w:rsidRDefault="00532398" w:rsidP="00B07107">
      <w:pPr>
        <w:pStyle w:val="ListParagraph"/>
        <w:numPr>
          <w:ilvl w:val="1"/>
          <w:numId w:val="1"/>
        </w:numPr>
        <w:ind w:left="567" w:right="-421"/>
      </w:pPr>
      <w:r>
        <w:t>Set up a prayer table (candle</w:t>
      </w:r>
      <w:r w:rsidR="008B782F">
        <w:t>, bible, crucifix, etc.) in the space</w:t>
      </w:r>
    </w:p>
    <w:p w14:paraId="1C420533" w14:textId="26B9A4B9" w:rsidR="001D03A0" w:rsidRDefault="00213905" w:rsidP="00B07107">
      <w:pPr>
        <w:pStyle w:val="ListParagraph"/>
        <w:numPr>
          <w:ilvl w:val="1"/>
          <w:numId w:val="1"/>
        </w:numPr>
        <w:ind w:left="567" w:right="-421"/>
      </w:pPr>
      <w:r>
        <w:t>Set up c</w:t>
      </w:r>
      <w:r w:rsidR="00FB68A5">
        <w:t>offee, tea, water</w:t>
      </w:r>
      <w:r w:rsidR="003B3525">
        <w:t xml:space="preserve">, etc. </w:t>
      </w:r>
      <w:r w:rsidR="00FB68A5">
        <w:t xml:space="preserve"> </w:t>
      </w:r>
      <w:r w:rsidR="00677F55">
        <w:t>(</w:t>
      </w:r>
      <w:r w:rsidR="00FB68A5">
        <w:t>and maybe cookies</w:t>
      </w:r>
      <w:r w:rsidR="003B3525">
        <w:t>/treats</w:t>
      </w:r>
      <w:r w:rsidR="00677F55">
        <w:t>)</w:t>
      </w:r>
      <w:r w:rsidR="00FB68A5">
        <w:t xml:space="preserve"> so people can help themselves at</w:t>
      </w:r>
      <w:r w:rsidR="00677F55">
        <w:t xml:space="preserve"> the break</w:t>
      </w:r>
    </w:p>
    <w:p w14:paraId="19F9226F" w14:textId="178BC173" w:rsidR="00677F55" w:rsidRDefault="008352B0" w:rsidP="00B07107">
      <w:pPr>
        <w:pStyle w:val="ListParagraph"/>
        <w:numPr>
          <w:ilvl w:val="1"/>
          <w:numId w:val="1"/>
        </w:numPr>
        <w:ind w:left="567" w:right="-421"/>
      </w:pPr>
      <w:r>
        <w:t>Have ready h</w:t>
      </w:r>
      <w:r w:rsidR="00677F55">
        <w:t>andouts</w:t>
      </w:r>
      <w:r w:rsidR="0027615A">
        <w:t xml:space="preserve"> </w:t>
      </w:r>
      <w:r w:rsidR="00C9390C">
        <w:t>(appendices)</w:t>
      </w:r>
      <w:r w:rsidR="00677F55">
        <w:t xml:space="preserve"> and pens</w:t>
      </w:r>
      <w:r w:rsidR="00C9390C">
        <w:t xml:space="preserve"> for each participant</w:t>
      </w:r>
    </w:p>
    <w:p w14:paraId="3941DD3D" w14:textId="5C7F2525" w:rsidR="001D0FCE" w:rsidRDefault="001D0FCE" w:rsidP="00B07107">
      <w:pPr>
        <w:pStyle w:val="ListParagraph"/>
        <w:numPr>
          <w:ilvl w:val="1"/>
          <w:numId w:val="1"/>
        </w:numPr>
        <w:ind w:left="567" w:right="-421"/>
      </w:pPr>
      <w:r>
        <w:t>Good to have a Kleenex box in the room somewhere</w:t>
      </w:r>
      <w:r w:rsidR="00EB20F5">
        <w:t xml:space="preserve"> (not uncommon for someone to cry at some point)</w:t>
      </w:r>
      <w:r w:rsidR="00EF5583">
        <w:t>; may even want a Kleenex box at each small group</w:t>
      </w:r>
    </w:p>
    <w:p w14:paraId="38935344" w14:textId="61282779" w:rsidR="00677F55" w:rsidRDefault="00677F55" w:rsidP="00B07107">
      <w:pPr>
        <w:pStyle w:val="ListParagraph"/>
        <w:numPr>
          <w:ilvl w:val="1"/>
          <w:numId w:val="1"/>
        </w:numPr>
        <w:ind w:left="567" w:right="-421"/>
      </w:pPr>
      <w:r>
        <w:t>Again double check that the technology is working</w:t>
      </w:r>
    </w:p>
    <w:p w14:paraId="616D83D0" w14:textId="5EC90741" w:rsidR="00300558" w:rsidRDefault="00300558" w:rsidP="00B07107">
      <w:pPr>
        <w:pStyle w:val="ListParagraph"/>
        <w:numPr>
          <w:ilvl w:val="1"/>
          <w:numId w:val="1"/>
        </w:numPr>
        <w:ind w:left="567" w:right="-421"/>
      </w:pPr>
      <w:r>
        <w:t>Welcome people as they arrive and get them to put a name tag on</w:t>
      </w:r>
    </w:p>
    <w:p w14:paraId="629296F9" w14:textId="3B4B9CBE" w:rsidR="00300558" w:rsidRDefault="001D0FCE" w:rsidP="00B07107">
      <w:pPr>
        <w:pStyle w:val="ListParagraph"/>
        <w:numPr>
          <w:ilvl w:val="1"/>
          <w:numId w:val="1"/>
        </w:numPr>
        <w:ind w:left="567" w:right="-421"/>
      </w:pPr>
      <w:r>
        <w:t>Start on time</w:t>
      </w:r>
      <w:r w:rsidR="0006227A">
        <w:t xml:space="preserve"> – end on time</w:t>
      </w:r>
      <w:r w:rsidR="00F449BF">
        <w:t xml:space="preserve"> (this respects people’s schedules)</w:t>
      </w:r>
    </w:p>
    <w:p w14:paraId="602497D5" w14:textId="23EA9D42" w:rsidR="008352B0" w:rsidRDefault="008352B0" w:rsidP="008352B0">
      <w:pPr>
        <w:pStyle w:val="ListParagraph"/>
        <w:numPr>
          <w:ilvl w:val="1"/>
          <w:numId w:val="1"/>
        </w:numPr>
        <w:ind w:left="567" w:right="-421"/>
      </w:pPr>
      <w:r>
        <w:t xml:space="preserve">When breaking into small groups for the small group sharing, stay with 3 or 4 people (more than 4 </w:t>
      </w:r>
      <w:r w:rsidR="000550E2">
        <w:t xml:space="preserve">people </w:t>
      </w:r>
      <w:r>
        <w:t>and people will not have time for everyone to share)</w:t>
      </w:r>
    </w:p>
    <w:p w14:paraId="5859C10E" w14:textId="72E32C4E" w:rsidR="008607B2" w:rsidRDefault="008607B2" w:rsidP="00B07107">
      <w:pPr>
        <w:pStyle w:val="ListParagraph"/>
        <w:numPr>
          <w:ilvl w:val="1"/>
          <w:numId w:val="1"/>
        </w:numPr>
        <w:ind w:left="567" w:right="-421"/>
      </w:pPr>
      <w:r>
        <w:t>After each session clean up</w:t>
      </w:r>
    </w:p>
    <w:p w14:paraId="26222C7D" w14:textId="77777777" w:rsidR="00FB2F92" w:rsidRDefault="0006227A" w:rsidP="00B07107">
      <w:pPr>
        <w:ind w:right="-421"/>
      </w:pPr>
      <w:r>
        <w:t xml:space="preserve">NOTE: </w:t>
      </w:r>
    </w:p>
    <w:p w14:paraId="6D94A6FD" w14:textId="73D86190" w:rsidR="00FB2F92" w:rsidRDefault="00104446" w:rsidP="00B07107">
      <w:pPr>
        <w:pStyle w:val="ListParagraph"/>
        <w:numPr>
          <w:ilvl w:val="0"/>
          <w:numId w:val="6"/>
        </w:numPr>
        <w:ind w:left="567" w:right="-421"/>
      </w:pPr>
      <w:r>
        <w:t xml:space="preserve">The biggest challenge can be reinforcing the </w:t>
      </w:r>
      <w:r w:rsidRPr="00FB2F92">
        <w:rPr>
          <w:i/>
          <w:iCs/>
        </w:rPr>
        <w:t xml:space="preserve">Norms of </w:t>
      </w:r>
      <w:r w:rsidR="00197DDE" w:rsidRPr="00FB2F92">
        <w:rPr>
          <w:i/>
          <w:iCs/>
        </w:rPr>
        <w:t>Conversations</w:t>
      </w:r>
      <w:r w:rsidRPr="00FB2F92">
        <w:rPr>
          <w:i/>
          <w:iCs/>
        </w:rPr>
        <w:t xml:space="preserve"> (like Listening </w:t>
      </w:r>
      <w:r w:rsidR="00197DDE" w:rsidRPr="00FB2F92">
        <w:rPr>
          <w:i/>
          <w:iCs/>
        </w:rPr>
        <w:t>Circles</w:t>
      </w:r>
      <w:r w:rsidRPr="00FB2F92">
        <w:rPr>
          <w:i/>
          <w:iCs/>
        </w:rPr>
        <w:t>)</w:t>
      </w:r>
      <w:r w:rsidR="00197DDE">
        <w:t xml:space="preserve">. </w:t>
      </w:r>
      <w:r w:rsidR="008607B2">
        <w:t xml:space="preserve"> There is a slide in each PowerPoint on this. </w:t>
      </w:r>
      <w:r w:rsidR="00197DDE">
        <w:t xml:space="preserve">Stress </w:t>
      </w:r>
      <w:r w:rsidR="00050A97">
        <w:t xml:space="preserve">to </w:t>
      </w:r>
      <w:r w:rsidR="00197DDE">
        <w:t xml:space="preserve">people </w:t>
      </w:r>
      <w:r w:rsidR="00050A97">
        <w:t xml:space="preserve">that they are </w:t>
      </w:r>
      <w:r w:rsidR="00186443">
        <w:t>NOT</w:t>
      </w:r>
      <w:r w:rsidR="00197DDE">
        <w:t xml:space="preserve"> </w:t>
      </w:r>
      <w:r w:rsidR="00050A97">
        <w:t xml:space="preserve">to </w:t>
      </w:r>
      <w:r w:rsidR="00197DDE">
        <w:t>interrupt others</w:t>
      </w:r>
      <w:r w:rsidR="00050A97">
        <w:t xml:space="preserve"> (just listen)</w:t>
      </w:r>
      <w:r w:rsidR="00197DDE">
        <w:t xml:space="preserve"> and </w:t>
      </w:r>
      <w:r w:rsidR="00050A97">
        <w:t xml:space="preserve">to </w:t>
      </w:r>
      <w:r w:rsidR="00197DDE">
        <w:t>allow everyone to speak at least once before someone speaks again.</w:t>
      </w:r>
    </w:p>
    <w:p w14:paraId="29A26F8C" w14:textId="77777777" w:rsidR="00FB2F92" w:rsidRDefault="00FB2F92" w:rsidP="00FB2F92">
      <w:pPr>
        <w:pStyle w:val="ListParagraph"/>
        <w:ind w:left="567" w:right="-421"/>
      </w:pPr>
    </w:p>
    <w:p w14:paraId="45DD744E" w14:textId="3EF3F1D5" w:rsidR="009E1AE5" w:rsidRDefault="009E1AE5" w:rsidP="00B07107">
      <w:pPr>
        <w:pStyle w:val="ListParagraph"/>
        <w:numPr>
          <w:ilvl w:val="0"/>
          <w:numId w:val="6"/>
        </w:numPr>
        <w:ind w:left="567" w:right="-421"/>
      </w:pPr>
      <w:r>
        <w:t xml:space="preserve">Some people were unable to attend all four sessions, we just gave them the appendices and encouraged them to </w:t>
      </w:r>
      <w:r w:rsidR="00FB2F92">
        <w:t>read</w:t>
      </w:r>
      <w:r>
        <w:t xml:space="preserve"> </w:t>
      </w:r>
      <w:r w:rsidR="00DC76F2">
        <w:t>them. The script for each video is included in the appendices.</w:t>
      </w:r>
      <w:r w:rsidR="00186443">
        <w:t xml:space="preserve"> We created </w:t>
      </w:r>
      <w:r w:rsidR="00250BE6">
        <w:t xml:space="preserve">a special document to email participants that missed a session so they could work through it on their own. </w:t>
      </w:r>
      <w:r w:rsidR="00B92571">
        <w:t>(see diocesan website for a copy)</w:t>
      </w:r>
    </w:p>
    <w:p w14:paraId="4496C644" w14:textId="77777777" w:rsidR="008679F0" w:rsidRDefault="008679F0" w:rsidP="008679F0">
      <w:pPr>
        <w:pStyle w:val="ListParagraph"/>
      </w:pPr>
    </w:p>
    <w:p w14:paraId="0F798959" w14:textId="6B6BFDCB" w:rsidR="008679F0" w:rsidRDefault="008679F0" w:rsidP="00B07107">
      <w:pPr>
        <w:pStyle w:val="ListParagraph"/>
        <w:numPr>
          <w:ilvl w:val="0"/>
          <w:numId w:val="6"/>
        </w:numPr>
        <w:ind w:left="567" w:right="-421"/>
      </w:pPr>
      <w:r>
        <w:t>It is not uncommon for some people to cry</w:t>
      </w:r>
      <w:r w:rsidR="00454B16">
        <w:t xml:space="preserve"> a</w:t>
      </w:r>
      <w:r w:rsidR="00973CFD">
        <w:t>s</w:t>
      </w:r>
      <w:r w:rsidR="00454B16">
        <w:t xml:space="preserve"> it brings up emotions of grief or sadness</w:t>
      </w:r>
      <w:r>
        <w:t xml:space="preserve">. If you have a large group you may want to provide a more private space for </w:t>
      </w:r>
      <w:r w:rsidR="00D3007C">
        <w:t>those that might need to take a private moment</w:t>
      </w:r>
      <w:r w:rsidR="00D605FF">
        <w:t xml:space="preserve"> alone</w:t>
      </w:r>
      <w:r w:rsidR="00D3007C">
        <w:t>.</w:t>
      </w:r>
      <w:r>
        <w:t xml:space="preserve"> </w:t>
      </w:r>
    </w:p>
    <w:p w14:paraId="0217B519" w14:textId="77777777" w:rsidR="00C9390C" w:rsidRDefault="00C9390C" w:rsidP="00B07107">
      <w:pPr>
        <w:pStyle w:val="ListParagraph"/>
        <w:ind w:left="567" w:right="-421"/>
      </w:pPr>
    </w:p>
    <w:p w14:paraId="64FF87A3" w14:textId="7DBDE5CC" w:rsidR="00340EE1" w:rsidRPr="006D20A3" w:rsidRDefault="00AC0B77" w:rsidP="00340EE1">
      <w:pPr>
        <w:pStyle w:val="ListParagraph"/>
        <w:numPr>
          <w:ilvl w:val="0"/>
          <w:numId w:val="1"/>
        </w:numPr>
        <w:ind w:left="0" w:right="-421"/>
      </w:pPr>
      <w:r>
        <w:t xml:space="preserve">Optional: </w:t>
      </w:r>
      <w:r w:rsidR="00F438C3">
        <w:t xml:space="preserve">After last session </w:t>
      </w:r>
      <w:r>
        <w:t>ask participants to complete the evaluation.</w:t>
      </w:r>
      <w:r w:rsidR="00B92571">
        <w:t xml:space="preserve"> They could fill in there or take home and drop off at the parish office later.</w:t>
      </w:r>
    </w:p>
    <w:sectPr w:rsidR="00340EE1" w:rsidRPr="006D20A3" w:rsidSect="00950BF2">
      <w:footerReference w:type="default" r:id="rId13"/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4798" w14:textId="77777777" w:rsidR="004F3C28" w:rsidRDefault="004F3C28" w:rsidP="00950BF2">
      <w:pPr>
        <w:spacing w:after="0" w:line="240" w:lineRule="auto"/>
      </w:pPr>
      <w:r>
        <w:separator/>
      </w:r>
    </w:p>
  </w:endnote>
  <w:endnote w:type="continuationSeparator" w:id="0">
    <w:p w14:paraId="2D4381E3" w14:textId="77777777" w:rsidR="004F3C28" w:rsidRDefault="004F3C28" w:rsidP="0095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186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6F293D" w14:textId="063A3A1F" w:rsidR="00950BF2" w:rsidRDefault="00950B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85A7D" w14:textId="77777777" w:rsidR="00950BF2" w:rsidRDefault="0095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19A6" w14:textId="77777777" w:rsidR="004F3C28" w:rsidRDefault="004F3C28" w:rsidP="00950BF2">
      <w:pPr>
        <w:spacing w:after="0" w:line="240" w:lineRule="auto"/>
      </w:pPr>
      <w:r>
        <w:separator/>
      </w:r>
    </w:p>
  </w:footnote>
  <w:footnote w:type="continuationSeparator" w:id="0">
    <w:p w14:paraId="6BD585A7" w14:textId="77777777" w:rsidR="004F3C28" w:rsidRDefault="004F3C28" w:rsidP="0095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F2B"/>
    <w:multiLevelType w:val="hybridMultilevel"/>
    <w:tmpl w:val="C2B8B1F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F69E6"/>
    <w:multiLevelType w:val="hybridMultilevel"/>
    <w:tmpl w:val="DECAA674"/>
    <w:lvl w:ilvl="0" w:tplc="1009000F">
      <w:start w:val="1"/>
      <w:numFmt w:val="decimal"/>
      <w:lvlText w:val="%1."/>
      <w:lvlJc w:val="left"/>
      <w:pPr>
        <w:ind w:left="1353" w:hanging="360"/>
      </w:p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D0120DC"/>
    <w:multiLevelType w:val="hybridMultilevel"/>
    <w:tmpl w:val="94A04BA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7224"/>
    <w:multiLevelType w:val="hybridMultilevel"/>
    <w:tmpl w:val="9A880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5F5B"/>
    <w:multiLevelType w:val="hybridMultilevel"/>
    <w:tmpl w:val="47A265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17A52"/>
    <w:multiLevelType w:val="hybridMultilevel"/>
    <w:tmpl w:val="CB725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87901">
    <w:abstractNumId w:val="3"/>
  </w:num>
  <w:num w:numId="2" w16cid:durableId="1842235485">
    <w:abstractNumId w:val="5"/>
  </w:num>
  <w:num w:numId="3" w16cid:durableId="543250818">
    <w:abstractNumId w:val="0"/>
  </w:num>
  <w:num w:numId="4" w16cid:durableId="1526751365">
    <w:abstractNumId w:val="1"/>
  </w:num>
  <w:num w:numId="5" w16cid:durableId="51662117">
    <w:abstractNumId w:val="2"/>
  </w:num>
  <w:num w:numId="6" w16cid:durableId="1545941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9B"/>
    <w:rsid w:val="00000F13"/>
    <w:rsid w:val="000017D3"/>
    <w:rsid w:val="0000346D"/>
    <w:rsid w:val="00022CB0"/>
    <w:rsid w:val="00026347"/>
    <w:rsid w:val="000271F9"/>
    <w:rsid w:val="00034808"/>
    <w:rsid w:val="00044605"/>
    <w:rsid w:val="00044794"/>
    <w:rsid w:val="00050A97"/>
    <w:rsid w:val="000550E2"/>
    <w:rsid w:val="00060864"/>
    <w:rsid w:val="0006227A"/>
    <w:rsid w:val="00090700"/>
    <w:rsid w:val="00094961"/>
    <w:rsid w:val="000A569D"/>
    <w:rsid w:val="000C352A"/>
    <w:rsid w:val="000C5ACF"/>
    <w:rsid w:val="000D3EDF"/>
    <w:rsid w:val="000E19BC"/>
    <w:rsid w:val="00104446"/>
    <w:rsid w:val="0011214A"/>
    <w:rsid w:val="0011569B"/>
    <w:rsid w:val="00132507"/>
    <w:rsid w:val="001358AC"/>
    <w:rsid w:val="00186443"/>
    <w:rsid w:val="00197A80"/>
    <w:rsid w:val="00197DDE"/>
    <w:rsid w:val="001A5A72"/>
    <w:rsid w:val="001A5C1B"/>
    <w:rsid w:val="001D03A0"/>
    <w:rsid w:val="001D0FCE"/>
    <w:rsid w:val="001F53E4"/>
    <w:rsid w:val="00213905"/>
    <w:rsid w:val="002318E8"/>
    <w:rsid w:val="00250BE6"/>
    <w:rsid w:val="0027615A"/>
    <w:rsid w:val="0028158A"/>
    <w:rsid w:val="002C2586"/>
    <w:rsid w:val="002D4697"/>
    <w:rsid w:val="002D4A0A"/>
    <w:rsid w:val="002E393E"/>
    <w:rsid w:val="002F0442"/>
    <w:rsid w:val="002F7D79"/>
    <w:rsid w:val="00300558"/>
    <w:rsid w:val="00340EE1"/>
    <w:rsid w:val="0034414E"/>
    <w:rsid w:val="003B3525"/>
    <w:rsid w:val="003C5483"/>
    <w:rsid w:val="003C7BDE"/>
    <w:rsid w:val="004052D5"/>
    <w:rsid w:val="004210E5"/>
    <w:rsid w:val="00454B16"/>
    <w:rsid w:val="004573DD"/>
    <w:rsid w:val="00491DD2"/>
    <w:rsid w:val="004A3811"/>
    <w:rsid w:val="004F3C28"/>
    <w:rsid w:val="004F5FBF"/>
    <w:rsid w:val="00532398"/>
    <w:rsid w:val="00537978"/>
    <w:rsid w:val="0054022C"/>
    <w:rsid w:val="00563405"/>
    <w:rsid w:val="005634D0"/>
    <w:rsid w:val="00563E04"/>
    <w:rsid w:val="005A168C"/>
    <w:rsid w:val="005C1763"/>
    <w:rsid w:val="006327D1"/>
    <w:rsid w:val="006354AA"/>
    <w:rsid w:val="00653EFC"/>
    <w:rsid w:val="00677F55"/>
    <w:rsid w:val="00680EFA"/>
    <w:rsid w:val="006943CD"/>
    <w:rsid w:val="006A33B2"/>
    <w:rsid w:val="006A60EB"/>
    <w:rsid w:val="006D20A3"/>
    <w:rsid w:val="006D42CC"/>
    <w:rsid w:val="006E60E9"/>
    <w:rsid w:val="006F2674"/>
    <w:rsid w:val="00712255"/>
    <w:rsid w:val="007258C6"/>
    <w:rsid w:val="00732078"/>
    <w:rsid w:val="007528AA"/>
    <w:rsid w:val="0076635E"/>
    <w:rsid w:val="007848A1"/>
    <w:rsid w:val="007B0710"/>
    <w:rsid w:val="007E2D2A"/>
    <w:rsid w:val="008352B0"/>
    <w:rsid w:val="008428EB"/>
    <w:rsid w:val="008456A2"/>
    <w:rsid w:val="00850150"/>
    <w:rsid w:val="00850419"/>
    <w:rsid w:val="008607B2"/>
    <w:rsid w:val="00864205"/>
    <w:rsid w:val="008679F0"/>
    <w:rsid w:val="00896C6D"/>
    <w:rsid w:val="008B782F"/>
    <w:rsid w:val="008E0F29"/>
    <w:rsid w:val="008E7383"/>
    <w:rsid w:val="00922F9C"/>
    <w:rsid w:val="00937C83"/>
    <w:rsid w:val="00946D92"/>
    <w:rsid w:val="00950BF2"/>
    <w:rsid w:val="00973CFD"/>
    <w:rsid w:val="0099197C"/>
    <w:rsid w:val="00992297"/>
    <w:rsid w:val="009E1AE5"/>
    <w:rsid w:val="009E2352"/>
    <w:rsid w:val="00A24436"/>
    <w:rsid w:val="00A32C74"/>
    <w:rsid w:val="00A53BE2"/>
    <w:rsid w:val="00A57938"/>
    <w:rsid w:val="00A63FBC"/>
    <w:rsid w:val="00AC0B77"/>
    <w:rsid w:val="00AE7766"/>
    <w:rsid w:val="00AF7B40"/>
    <w:rsid w:val="00B07107"/>
    <w:rsid w:val="00B301C7"/>
    <w:rsid w:val="00B36E49"/>
    <w:rsid w:val="00B45F0C"/>
    <w:rsid w:val="00B56129"/>
    <w:rsid w:val="00B92571"/>
    <w:rsid w:val="00BB2F1E"/>
    <w:rsid w:val="00C1049D"/>
    <w:rsid w:val="00C60406"/>
    <w:rsid w:val="00C9390C"/>
    <w:rsid w:val="00CA06E3"/>
    <w:rsid w:val="00CE31EA"/>
    <w:rsid w:val="00CE5C15"/>
    <w:rsid w:val="00D10AD1"/>
    <w:rsid w:val="00D12EC2"/>
    <w:rsid w:val="00D27919"/>
    <w:rsid w:val="00D3007C"/>
    <w:rsid w:val="00D400DE"/>
    <w:rsid w:val="00D50013"/>
    <w:rsid w:val="00D54592"/>
    <w:rsid w:val="00D605FF"/>
    <w:rsid w:val="00D7493D"/>
    <w:rsid w:val="00DC76F2"/>
    <w:rsid w:val="00DF6958"/>
    <w:rsid w:val="00E11606"/>
    <w:rsid w:val="00E15598"/>
    <w:rsid w:val="00E32585"/>
    <w:rsid w:val="00E335F2"/>
    <w:rsid w:val="00E41803"/>
    <w:rsid w:val="00EB20F5"/>
    <w:rsid w:val="00EF5583"/>
    <w:rsid w:val="00F171B8"/>
    <w:rsid w:val="00F342C8"/>
    <w:rsid w:val="00F369A0"/>
    <w:rsid w:val="00F40484"/>
    <w:rsid w:val="00F438C3"/>
    <w:rsid w:val="00F449BF"/>
    <w:rsid w:val="00F44F05"/>
    <w:rsid w:val="00F4517F"/>
    <w:rsid w:val="00F601B8"/>
    <w:rsid w:val="00F72E95"/>
    <w:rsid w:val="00F8319E"/>
    <w:rsid w:val="00F91ADB"/>
    <w:rsid w:val="00FA635F"/>
    <w:rsid w:val="00FA7374"/>
    <w:rsid w:val="00FB2F92"/>
    <w:rsid w:val="00FB68A5"/>
    <w:rsid w:val="00FC2913"/>
    <w:rsid w:val="00FC3094"/>
    <w:rsid w:val="00FD1445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C0E4"/>
  <w15:chartTrackingRefBased/>
  <w15:docId w15:val="{C52E80B2-15E2-4B55-AA0F-E47F5ADA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6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C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C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0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F2"/>
  </w:style>
  <w:style w:type="paragraph" w:styleId="Footer">
    <w:name w:val="footer"/>
    <w:basedOn w:val="Normal"/>
    <w:link w:val="FooterChar"/>
    <w:uiPriority w:val="99"/>
    <w:unhideWhenUsed/>
    <w:rsid w:val="00950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F2"/>
  </w:style>
  <w:style w:type="character" w:styleId="FollowedHyperlink">
    <w:name w:val="FollowedHyperlink"/>
    <w:basedOn w:val="DefaultParagraphFont"/>
    <w:uiPriority w:val="99"/>
    <w:semiHidden/>
    <w:unhideWhenUsed/>
    <w:rsid w:val="00000F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cdvictoria.org/care-of-the-dyi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ccb.ca/faith-moral-issues/suffering-and-end-of-life/horizons-of-hope-a-toolkit-for-catholic-parishes-on-palliative-ca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1037</Words>
  <Characters>4980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Pulyk</dc:creator>
  <cp:keywords/>
  <dc:description/>
  <cp:lastModifiedBy>Bev Pulyk</cp:lastModifiedBy>
  <cp:revision>155</cp:revision>
  <cp:lastPrinted>2024-07-31T22:56:00Z</cp:lastPrinted>
  <dcterms:created xsi:type="dcterms:W3CDTF">2024-07-31T21:31:00Z</dcterms:created>
  <dcterms:modified xsi:type="dcterms:W3CDTF">2025-12-06T20:10:00Z</dcterms:modified>
</cp:coreProperties>
</file>